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hint="eastAsia"/>
        </w:rPr>
      </w:pPr>
      <w:bookmarkStart w:id="0" w:name="_GoBack"/>
      <w:r>
        <w:rPr>
          <w:rFonts w:hint="eastAsia" w:asciiTheme="minorEastAsia" w:hAnsiTheme="minorEastAsia" w:cstheme="minorEastAsia"/>
          <w:sz w:val="28"/>
          <w:szCs w:val="28"/>
        </w:rPr>
        <w:t>本科专业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情况与专业</w:t>
      </w:r>
      <w:r>
        <w:rPr>
          <w:rFonts w:hint="eastAsia" w:asciiTheme="minorEastAsia" w:hAnsiTheme="minorEastAsia" w:cstheme="minorEastAsia"/>
          <w:sz w:val="28"/>
          <w:szCs w:val="28"/>
        </w:rPr>
        <w:t>图书类目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界定标准一览</w:t>
      </w:r>
      <w:r>
        <w:rPr>
          <w:rFonts w:hint="eastAsia" w:asciiTheme="minorEastAsia" w:hAnsiTheme="minorEastAsia" w:cstheme="minorEastAsia"/>
          <w:sz w:val="28"/>
          <w:szCs w:val="28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</w:pPr>
      <w:r>
        <w:rPr>
          <w:rFonts w:hint="eastAsia"/>
        </w:rPr>
        <w:t xml:space="preserve">填报单位(盖章)                                      填报时间：2017年   月   日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920"/>
        <w:gridCol w:w="1455"/>
        <w:gridCol w:w="3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本科专业名称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到2019年各专业在校人数（预估）</w:t>
            </w:r>
          </w:p>
        </w:tc>
        <w:tc>
          <w:tcPr>
            <w:tcW w:w="3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center"/>
              <w:textAlignment w:val="auto"/>
              <w:outlineLvl w:val="9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专业图书类目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9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3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/>
              <w:jc w:val="left"/>
              <w:textAlignment w:val="auto"/>
              <w:outlineLvl w:val="9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填报人(签名)：                              院长(签字)：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right="0" w:rightChars="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1.图书类目涵盖所有专业课程，应尽可能列全。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80" w:right="0" w:rightChars="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2.所填类目务请严格按《中图法》（http://www.ztflh.com/）规定的图书类别来表述，不能简单地填写一级大类，原则上要尽可能地细化类目。</w:t>
      </w:r>
    </w:p>
    <w:p>
      <w:r>
        <w:rPr>
          <w:rFonts w:hint="eastAsia"/>
          <w:sz w:val="24"/>
        </w:rPr>
        <w:t>例如：G61   学前教育 、幼儿教育； G62  初等教育；R9  药学。</w:t>
      </w:r>
      <w:r>
        <w:rPr>
          <w:rFonts w:hint="eastAsia"/>
          <w:sz w:val="28"/>
          <w:szCs w:val="28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35C3"/>
    <w:rsid w:val="69613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2017-09-05T09:52:00Z</dcterms:created>
  <dc:creator>Administrator</dc:creator>
  <cp:lastModifiedBy>Administrator</cp:lastModifiedBy>
  <dcterms:modified xsi:type="dcterms:W3CDTF">2017-09-05T09:52:48Z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